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 xmlns:w="http://schemas.openxmlformats.org/wordprocessingml/2006/main" xmlns:w14="http://schemas.microsoft.com/office/word/2010/wordml" xmlns:w15="http://schemas.microsoft.com/office/word/2012/wordml" mc:Ignorable="w14 w15">
  <w:body>
    <w:tbl>
      <w:tblPr>
        <w:tblW w:w="15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  <w:gridCol w:w="7400"/>
        <w:gridCol w:w="2398"/>
      </w:tblGrid>
      <w:tr>
        <w:trPr/>
        <w:tc>
          <w:tcPr>
            <w:tcW w:w="15398" w:type="dxa"/>
            <w:gridSpan w:val="3"/>
            <w:vAlign w:val="top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Tätigkeit: </w:t>
            </w:r>
            <w:r>
              <w:rPr>
                <w:b/>
                <w:bCs/>
              </w:rPr>
              <w:t xml:space="preserve"/>
            </w:r>
          </w:p>
        </w:tc>
      </w:tr>
      <w:tr>
        <w:trPr/>
        <w:tc>
          <w:tcPr>
            <w:tcW w:w="15398" w:type="dxa"/>
            <w:gridSpan w:val="3"/>
            <w:vAlign w:val="top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Arbeitsbereich: </w:t>
            </w:r>
            <w:r>
              <w:rPr>
                <w:b/>
                <w:bCs/>
              </w:rPr>
              <w:t xml:space="preserve"/>
            </w:r>
          </w:p>
        </w:tc>
      </w:tr>
      <w:tr>
        <w:trPr/>
        <w:tc>
          <w:tcPr>
            <w:tcW w:w="13000" w:type="dxa"/>
            <w:gridSpan w:val="2"/>
            <w:vAlign w:val="top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Arbeitstätigkeit: </w:t>
            </w:r>
            <w:r>
              <w:rPr>
                <w:b/>
                <w:bCs/>
              </w:rPr>
              <w:t xml:space="preserve"/>
            </w:r>
          </w:p>
        </w:tc>
        <w:tc>
          <w:tcPr>
            <w:tcW w:w="2398" w:type="dxa"/>
            <w:vMerge w:val="restart"/>
            <w:vAlign w:val="top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Firma:</w:t>
            </w:r>
          </w:p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WIM GmbH</w:t>
            </w:r>
          </w:p>
        </w:tc>
      </w:tr>
      <w:tr>
        <w:trPr/>
        <w:tc>
          <w:tcPr>
            <w:tcW w:w="5600" w:type="dxa"/>
            <w:vAlign w:val="top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Verantwortliche/r: </w:t>
            </w:r>
            <w:r>
              <w:rPr>
                <w:b/>
                <w:bCs/>
              </w:rPr>
              <w:t xml:space="preserve">Franz Hemmer</w:t>
            </w:r>
          </w:p>
        </w:tc>
        <w:tc>
          <w:tcPr>
            <w:tcW w:w="7400" w:type="dxa"/>
            <w:vAlign w:val="top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Datum: </w:t>
            </w:r>
            <w:r>
              <w:rPr>
                <w:b/>
                <w:bCs/>
              </w:rPr>
              <w:t xml:space="preserve"/>
            </w:r>
          </w:p>
        </w:tc>
        <w:tc>
          <w:tcPr>
            <w:tcW w:w="2398" w:type="dxa"/>
            <w:vMerge/>
            <w:vAlign w:val="top"/>
          </w:tcPr>
          <w:p>
            <w:pPr>
              <w:spacing w:before="0" w:after="0" w:line="240" w:lineRule="auto"/>
            </w:pPr>
          </w:p>
        </w:tc>
      </w:tr>
      <w:tr>
        <w:trPr/>
        <w:tc>
          <w:tcPr>
            <w:tcW w:w="5600" w:type="dxa"/>
            <w:vAlign w:val="top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Erstellt durch: </w:t>
            </w:r>
            <w:r>
              <w:rPr>
                <w:b/>
                <w:bCs/>
              </w:rPr>
              <w:t xml:space="preserve">Franz Hemmer</w:t>
            </w:r>
            <w:r>
              <w:rPr>
                <w:b/>
                <w:bCs/>
              </w:rPr>
              <w:t xml:space="preserve">    am: </w:t>
            </w:r>
            <w:r>
              <w:rPr>
                <w:b/>
                <w:bCs/>
              </w:rPr>
              <w:t xml:space="preserve">14.09.2026</w:t>
            </w:r>
          </w:p>
        </w:tc>
        <w:tc>
          <w:tcPr>
            <w:tcW w:w="7400" w:type="dxa"/>
            <w:vAlign w:val="top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Überprüft durch: </w:t>
            </w:r>
            <w:r>
              <w:rPr>
                <w:b/>
                <w:bCs/>
              </w:rPr>
              <w:t xml:space="preserve">Thomas Eusterholz</w:t>
            </w:r>
            <w:r>
              <w:rPr>
                <w:b/>
                <w:bCs/>
              </w:rPr>
              <w:t xml:space="preserve">    am: </w:t>
            </w:r>
            <w:r>
              <w:rPr>
                <w:b/>
                <w:bCs/>
              </w:rPr>
              <w:t xml:space="preserve">14.09.2026</w:t>
            </w:r>
          </w:p>
        </w:tc>
        <w:tc>
          <w:tcPr>
            <w:tcW w:w="2398" w:type="dxa"/>
            <w:vAlign w:val="top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Revision: </w:t>
            </w:r>
            <w:r>
              <w:rPr>
                <w:b/>
                <w:bCs/>
              </w:rPr>
              <w:t xml:space="preserve">1</w:t>
            </w:r>
          </w:p>
        </w:tc>
      </w:tr>
    </w:tbl>
    <w:p>
      <w:pPr>
        <w:spacing w:before="0" w:after="120" w:line="240" w:lineRule="auto"/>
      </w:pPr>
    </w:p>
    <w:tbl>
      <w:tblPr>
        <w:tblW w:w="15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000"/>
        <w:gridCol w:w="400"/>
        <w:gridCol w:w="400"/>
        <w:gridCol w:w="400"/>
        <w:gridCol w:w="1150"/>
        <w:gridCol w:w="4850"/>
        <w:gridCol w:w="1400"/>
        <w:gridCol w:w="1060"/>
        <w:gridCol w:w="1040"/>
        <w:gridCol w:w="529"/>
        <w:gridCol w:w="529"/>
      </w:tblGrid>
      <w:tr>
        <w:trPr>
          <w:cantSplit/>
          <w:tblHeader/>
        </w:trPr>
        <w:tc>
          <w:tcPr>
            <w:tcW w:w="640" w:type="dxa"/>
            <w:vMerge w:val="restart"/>
            <w:shd w:val="clear" w:color="auto" w:fill="F2F2F2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Nr.</w:t>
            </w:r>
          </w:p>
        </w:tc>
        <w:tc>
          <w:tcPr>
            <w:tcW w:w="3000" w:type="dxa"/>
            <w:vMerge w:val="restart"/>
            <w:shd w:val="clear" w:color="auto" w:fill="F2F2F2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Gefährdungen/Belastungen</w:t>
            </w:r>
          </w:p>
        </w:tc>
        <w:tc>
          <w:tcPr>
            <w:tcW w:w="2350" w:type="dxa"/>
            <w:gridSpan w:val="4"/>
            <w:shd w:val="clear" w:color="auto" w:fill="F2F2F2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Beurteilung der Gefährdung/Belastung</w:t>
            </w:r>
          </w:p>
        </w:tc>
        <w:tc>
          <w:tcPr>
            <w:tcW w:w="4850" w:type="dxa"/>
            <w:vMerge w:val="restart"/>
            <w:shd w:val="clear" w:color="auto" w:fill="F2F2F2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Maßnahmen</w:t>
            </w:r>
          </w:p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6"/>
                <w:szCs w:val="16"/>
              </w:rPr>
              <w:t xml:space="preserve">technisch, organisatorisch, persönlich</w:t>
            </w:r>
          </w:p>
        </w:tc>
        <w:tc>
          <w:tcPr>
            <w:tcW w:w="1400" w:type="dxa"/>
            <w:vMerge w:val="restart"/>
            <w:shd w:val="clear" w:color="auto" w:fill="F2F2F2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Gesetze</w:t>
            </w:r>
          </w:p>
        </w:tc>
        <w:tc>
          <w:tcPr>
            <w:tcW w:w="2100" w:type="dxa"/>
            <w:gridSpan w:val="2"/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Realisierung</w:t>
            </w:r>
          </w:p>
        </w:tc>
        <w:tc>
          <w:tcPr>
            <w:tcW w:w="1058" w:type="dxa"/>
            <w:gridSpan w:val="2"/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Wirksamkeit</w:t>
            </w:r>
          </w:p>
        </w:tc>
      </w:tr>
      <w:tr>
        <w:trPr>
          <w:cantSplit/>
          <w:tblHeader/>
        </w:trPr>
        <w:tc>
          <w:tcPr>
            <w:tcW w:w="64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300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200" w:type="dxa"/>
            <w:gridSpan w:val="3"/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Risiko</w:t>
            </w:r>
          </w:p>
        </w:tc>
        <w:tc>
          <w:tcPr>
            <w:tcW w:w="1150" w:type="dxa"/>
            <w:vMerge w:val="restart"/>
            <w:shd w:val="clear" w:color="auto" w:fill="F2F2F2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Handlungs­bedarf?</w:t>
            </w:r>
          </w:p>
        </w:tc>
        <w:tc>
          <w:tcPr>
            <w:tcW w:w="485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40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60" w:type="dxa"/>
            <w:vMerge w:val="restart"/>
            <w:shd w:val="clear" w:color="auto" w:fill="F2F2F2"/>
            <w:vAlign w:val="bottom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Termin</w:t>
            </w:r>
          </w:p>
        </w:tc>
        <w:tc>
          <w:tcPr>
            <w:tcW w:w="1040" w:type="dxa"/>
            <w:vMerge w:val="restart"/>
            <w:shd w:val="clear" w:color="auto" w:fill="F2F2F2"/>
            <w:vAlign w:val="bottom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Verantw.</w:t>
            </w:r>
          </w:p>
        </w:tc>
        <w:tc>
          <w:tcPr>
            <w:tcW w:w="529" w:type="dxa"/>
            <w:vMerge w:val="restart"/>
            <w:shd w:val="clear" w:color="auto" w:fill="F2F2F2"/>
            <w:vAlign w:val="bottom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Ja</w:t>
            </w:r>
          </w:p>
        </w:tc>
        <w:tc>
          <w:tcPr>
            <w:tcW w:w="529" w:type="dxa"/>
            <w:vMerge w:val="restart"/>
            <w:shd w:val="clear" w:color="auto" w:fill="F2F2F2"/>
            <w:vAlign w:val="bottom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Nein</w:t>
            </w:r>
          </w:p>
        </w:tc>
      </w:tr>
      <w:tr>
        <w:trPr>
          <w:cantSplit/>
          <w:tblHeader/>
        </w:trPr>
        <w:tc>
          <w:tcPr>
            <w:tcW w:w="64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300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400" w:type="dxa"/>
            <w:shd w:val="clear" w:color="auto" w:fill="BFBFBF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k</w:t>
            </w:r>
          </w:p>
        </w:tc>
        <w:tc>
          <w:tcPr>
            <w:tcW w:w="400" w:type="dxa"/>
            <w:shd w:val="clear" w:color="auto" w:fill="92CDDC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</w:t>
            </w:r>
          </w:p>
        </w:tc>
        <w:tc>
          <w:tcPr>
            <w:tcW w:w="400" w:type="dxa"/>
            <w:shd w:val="clear" w:color="auto" w:fill="548DD4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g</w:t>
            </w:r>
          </w:p>
        </w:tc>
        <w:tc>
          <w:tcPr>
            <w:tcW w:w="115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485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40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6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40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529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529" w:type="dxa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548DD4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  <w:color w:val="FFFFFF"/>
              </w:rPr>
              <w:t xml:space="preserve">Teil A: Allgemeine Gefährdungen (alle WIM-Baustellen)</w:t>
            </w:r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1. Mechanische Gefährdungen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1.2.1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Einsatz von Staplern, Kranen und anderen Hebezeugen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Anfahren, Aufprallen, Überfahren, Umkippen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Abstürzen, Herabstürzen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Sichere, markierte Transportwege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Einhaltung von Sicherheitsabständen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Schutzeinrichtungen an Transportmitteln (Schaltleisten, berührungslos wirkende Schutzeinrichtungen, Rückfahrwarneinrichtung)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Ausbildung von Führern und Bedienern der Hebezeuge und Transportmittel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Schriftliche Beauftragung von Führern und Bedienern der Hebezeuge + Transportmittel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Eignungsuntersuchung für Führer/ Bediener der Transportmittel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BAW sachgerechtes Anschlagen von Lasten ist einzuhalten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Kein Aufenthalt unter schwebenden Lasten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009"/>
                <w:lock w:val="contentLocked"/>
              </w:sdtPr>
              <w:sdtContent>
                <w:r>
                  <w:t xml:space="preserve">ProdSV, BetrSichV, ArbStättV, DGUV</w:t>
                </w:r>
                <w:r>
                  <w:noBreakHyphen/>
                </w:r>
                <w:r>
                  <w:t xml:space="preserve">V 68, DGUV</w:t>
                </w:r>
                <w:r>
                  <w:noBreakHyphen/>
                </w:r>
                <w:r>
                  <w:t xml:space="preserve">V 70, TRBS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08.06.2026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WIM/ Holcim 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1.4 Unkontrolliert bewegte Teile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1.4.1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Gefahrquellen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Splitterflug beim Lösen der Bauteile mit dem Hammer oder Herabfallen von Bauteilen, Quetschgefahr im Umgang mit Hammer, Umherfliegende Teile beim Schleifen /Reinigen / Sandstrahlen / Sanieren der verbleibenden Bauteile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Transport- und Hebehilfen benutzen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Persönliche Schutzausrüstung: Schutzbrille bei Arbeiten mit möglichem Splitter- oder Funkenflug verwenden; Geschlossene Brille beim Sandstrahlen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Handschuhe und hochgeschlossenen Schutzkleidung tragen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Montage gemäß Anleitung des Herstellers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Sichtprüfung der Arbeitsmittel vor Arbeitsbeginn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020"/>
                <w:lock w:val="contentLocked"/>
              </w:sdtPr>
              <w:sdtContent>
                <w:r>
                  <w:t xml:space="preserve">BetrSichV, DGUV</w:t>
                </w:r>
                <w:r>
                  <w:noBreakHyphen/>
                </w:r>
                <w:r>
                  <w:t xml:space="preserve">R 100</w:t>
                </w:r>
                <w:r>
                  <w:noBreakHyphen/>
                </w:r>
                <w:r>
                  <w:t xml:space="preserve">500, TRBS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1.5 Arbeits- und Verkehrsbereiche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1.5.1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Arbeits- und Verkehrswege</w:t>
            </w:r>
          </w:p>
          <w:p>
            <w:pPr>
              <w:spacing w:before="0" w:after="0" w:line="240" w:lineRule="auto"/>
            </w:pPr>
            <w:r>
              <w:t xml:space="preserve">Stolpern, Rutschen, Stürzen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Unebene Verkehrswege, Treppen, Aufstiege, Laufstege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Sichere, markierte Verkehrswege nutzen, regelmäßige Prüfung (Beleuchtung, Trittsicherheit, Tragfähigkeit beachten)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Verkehrswege freihalten, Ordnung halten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Markierte Abstellflächen für Material nutzen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029"/>
                <w:lock w:val="contentLocked"/>
              </w:sdtPr>
              <w:sdtContent>
                <w:r>
                  <w:t xml:space="preserve">ArbStättV, ASR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1.5.2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Absturz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Gerüste,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Hubarbeitsbühnen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Holcim Erlaubnisschein HSE 102 vorweisen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Nur freigegebene Gerüste betreten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Regelmäßige Prüfung von PSA gegen Absturz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Unterweis. in der Benutzung von Hubbühne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039"/>
                <w:lock w:val="contentLocked"/>
              </w:sdtPr>
              <w:sdtContent>
                <w:r>
                  <w:t xml:space="preserve">BetrSichV, ArbStättV, TRBS, ASR, DGUV</w:t>
                </w:r>
                <w:r>
                  <w:noBreakHyphen/>
                </w:r>
                <w:r>
                  <w:t xml:space="preserve">V 38, (BGV D36), DGUV</w:t>
                </w:r>
                <w:r>
                  <w:noBreakHyphen/>
                </w:r>
                <w:r>
                  <w:t xml:space="preserve">V 70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2. Gefährdung durch elektrische Anlagen und Betriebsmittel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2.1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Berührung betriebsmäßig spannungsführender Teile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t xml:space="preserve">Die störenden Sensoren etc. werden nach Rücksprache bauseits entfernt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Arbeiten nur durch Elektrofachkraft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Schutz gegen direktes Berühren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Regelmäßige Sichtkontrolle auf Beschädigung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Wiederkehrende Prüfung durch Elektrofachkraft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049"/>
                <w:lock w:val="contentLocked"/>
              </w:sdtPr>
              <w:sdtContent>
                <w:r>
                  <w:t xml:space="preserve">BetrSichV, TRBS, DGUV</w:t>
                </w:r>
                <w:r>
                  <w:noBreakHyphen/>
                </w:r>
                <w:r>
                  <w:t xml:space="preserve">V 3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2.2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Berührung leitfähiger Teile, die im Fehlerfall spannungsführend sein können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Spezielle Schutzausrüstungen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Regelmäßige Sichtkontrolle auf Beschädigung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Spezielle Anforderungen bei Bauarbeiten beachten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Wiederkehrende Prüfung durch Elektrofachkraft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059"/>
                <w:lock w:val="contentLocked"/>
              </w:sdtPr>
              <w:sdtContent>
                <w:r>
                  <w:t xml:space="preserve">BetrSichV, TRBS, DGUV</w:t>
                </w:r>
                <w:r>
                  <w:noBreakHyphen/>
                </w:r>
                <w:r>
                  <w:t xml:space="preserve">V 3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3. Gefahrstoffe</w:t>
            </w:r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3.1 Stäube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3.1.1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Sonstige gesundheitsschädigende Stäube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Schleifstäube beim Reinigen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Staubbelastung im Umfeld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Strahlsand beim Reinigen der Zyklone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Staubarme Arbeitsverfahren und Arbeitsweisen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Vor Arbeitsbeginn Reinigung der Oberflächen auf denen geschweißt wird.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Entstaubungs- und Lüftungstechnik einsetzen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Persönliche Schutzausrüstung: Atemschutz beim Schleifen (Maske)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069"/>
                <w:lock w:val="contentLocked"/>
              </w:sdtPr>
              <w:sdtContent>
                <w:r>
                  <w:t xml:space="preserve">GefStoffV, ArbMedVV, TRGS 900, 402, 500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3.2 Rauche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3.2.1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Dieselmotoremissionen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t xml:space="preserve">Ggf. Autokran / Stapler, Hubarbeitsbühnen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Lüftungs- und Ablufttechnik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Partikelfilter zur Abgasreinigung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Wartungskonzept für Dieselmotoren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Atemschutz (Partikelfilter min. P2 oder FFP2)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079"/>
                <w:lock w:val="contentLocked"/>
              </w:sdtPr>
              <w:sdtContent>
                <w:r>
                  <w:t xml:space="preserve">TRGS 554, ArbMedVV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3.2.2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Schweißrauche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t xml:space="preserve">Ggf. Autokran / Stapler, Hubarbeitsbühnen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Lüftungs- und Ablufttechnik bei beengten nicht frei belüfteten Arbeitsplätzen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Alternativ fremdbelüftete Schweißhelme verwenden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087"/>
                <w:lock w:val="contentLocked"/>
              </w:sdtPr>
              <w:sdtContent>
                <w:r>
                  <w:t xml:space="preserve">TRGS 554, ArbMedVV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4. Brand- und Explosionsgefährdungen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4.1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Brandgefährdung durch Feststoffe, Flüssigkeiten, Gase und elektrische Energie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Arbeiten mit Schneidbrenner, Einsatz von Acetylen und Sauerstoff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Arbeiten mit dem Plasmabrenner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Arbeiten mit dem Winkelschleifer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Der De- und Montagebereich liegt nicht in einem Ex-Bereich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Organisatorische und technische Maßnahmen zur Vermeidung der Brandentstehung und –ausbreitung (Brandmelde- und -bekämpfungstechnik, Fluchtplan, Unterweisung und Ausbildung)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Den Bereich an dem Funken entstehen können, muss zuvor sorgfältig gereinigt werden. Brennbare Stäube entfernen.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Muss in diesen Bereichen gebrannt werden, so ist eine Brandwache zu stellen, Anwesenheit bis 30 Minuten nach Ende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Arbeiten nur mit Erlaubnisschein, Schutzmaßnahmen gemäß Erlaubnisschein umsetzen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Lagerung der Flaschen: stehend befestigt, ausreichend belüftet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Schutz von Schläuchen und Druckminderer mit Rückschlagventil: Sichtprüfung vor Arbeitsbeginn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0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Bei Schäden an Teilen der Gasversorgung (z.B. defekte Armaturen, poröse Schläuche) Arbeit einstellen und Aufsichtsführenden informieren.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Flaschenventile bei Arbeitsunterbrechungen schließen.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Beim Schließen zuerst das Brenngas- und danach das Sauerstoffventil schließen.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Beim Zünden zuerst das Sauerstoff- und danach das Brenngasventil öffnen.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Geeignete Gasanzünder verwenden; keine Streichhölzer oder Feuerzeuge verwenden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104"/>
                <w:lock w:val="contentLocked"/>
              </w:sdtPr>
              <w:sdtContent>
                <w:r>
                  <w:t xml:space="preserve">BetrSichV, ArbStättV, TRBS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5. Spezielle physikalische Gefährdungen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5.1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Lärmpegel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t xml:space="preserve">Lex,8h ≥ 85 dB(A)</w:t>
            </w:r>
          </w:p>
          <w:p>
            <w:pPr>
              <w:spacing w:before="0" w:after="0" w:line="240" w:lineRule="auto"/>
            </w:pPr>
            <w:r>
              <w:t xml:space="preserve">LpC, peak ≥ 137 dB(C)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Kennzeichnung von Lärmbereichen, Zugangsbeschränkung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Durchsetzen der Tragepflicht von geeigneten Gehörschutzmitteln (DGUV-R 112-194).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Sicherstellen, dass Lärmeinwirkung mit Gehörschutz 85 dB(A) nicht überschreiten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Unterweisung zum Tragen von Gehörschutzmitteln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114"/>
                <w:lock w:val="contentLocked"/>
              </w:sdtPr>
              <w:sdtContent>
                <w:r>
                  <w:t xml:space="preserve">BK 2301, LärmVibrationsArbSchV, 9. ProdSV, ArbMedVV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5.2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Hand-Arm-Vibrationen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t xml:space="preserve">Arbeiten mit Druckluftwerkzeugen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 Max. Dauer 5 min / Einsatz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Vermeidung von Unwuchten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Reduzierung der Einwirkzeit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Maßnahmen zur Gesundheitsförderung und Beobachtung gesundheitlicher Beschwerden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Arbeitsmedizinische Vorsorge G 46 bei Überschreitung der Expositionsgrenzwertes (bei Überschreitung des Auslösewertes Angebotsuntersuchung G 46)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124"/>
                <w:lock w:val="contentLocked"/>
              </w:sdtPr>
              <w:sdtContent>
                <w:r>
                  <w:t xml:space="preserve">BK 2103, 2104, LärmVibrationsArbSchV, ArbMedVV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6. Gefährdung durch Mängel in der Organisation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6.1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Arbeitsschutzorganisation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Schriftliche Übertragung von Unternehmerpflichten auf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Führungskräfte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Beschäftigte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Fachkraft für Arbeitssicherheit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Betriebsarzt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Sicherheitsbeauftragte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Arbeitsschutzausschuss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Organigramm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Operative Verantwortung (Auswahl, Qualifikation, Verantwortungsbereiche, Befugnisse, Kontrolle) (BGB, HGB, SGB VII, ArbSchG) auf Führungskräfte vor Ort schriftlich übertragen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Bauseitige Bestellung von: Sicherheitsbeauftragten vor Ort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Wenn erforderlich, detaillierte Arbeitsanweisungen erstellen,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134"/>
                <w:lock w:val="contentLocked"/>
              </w:sdtPr>
              <w:sdtContent>
                <w:r>
                  <w:t xml:space="preserve">ArbSchG, ASiG, ChemG, DGUV</w:t>
                </w:r>
                <w:r>
                  <w:noBreakHyphen/>
                </w:r>
                <w:r>
                  <w:t xml:space="preserve">V 1, SGB VII, BetrVG, DGUV</w:t>
                </w:r>
                <w:r>
                  <w:noBreakHyphen/>
                </w:r>
                <w:r>
                  <w:t xml:space="preserve">V 2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6.2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Betriebsanweisungen und Unterweisungen</w:t>
            </w:r>
          </w:p>
          <w:p>
            <w:pPr>
              <w:spacing w:before="0" w:after="0" w:line="240" w:lineRule="auto"/>
            </w:pPr>
            <w:r>
              <w:t xml:space="preserve">Die Holcim BA`s sind die Grundlage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Arbeit an und mit Maschinen und Anlagen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Tätigkeiten in Ex.- Bereichen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Betriebsanweisungen durch Verantwortliche erstellen und bekannt geben lassen (BetrSichV, GefStoffV, DGUV-V1)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Unterweisungen von neuen Beschäftigten, umgesetzten Beschäftigten, Beschäftigten von Fremdfirmen vor Aufnahme der Tätigkeit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Wiederholungsunterweisung mindestens einmal jährlich sowie bei Veränderungen von Anlagen und Verfahren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Unterweisung dokumentieren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144"/>
                <w:lock w:val="contentLocked"/>
              </w:sdtPr>
              <w:sdtContent>
                <w:r>
                  <w:t xml:space="preserve">ArbSchG, BetrSichV, GefStoffV, DGUV</w:t>
                </w:r>
                <w:r>
                  <w:noBreakHyphen/>
                </w:r>
                <w:r>
                  <w:t xml:space="preserve">V 1, ASiG, ChemG, SGB VII, BetrVG, DGUV</w:t>
                </w:r>
                <w:r>
                  <w:noBreakHyphen/>
                </w:r>
                <w:r>
                  <w:t xml:space="preserve">V 2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6.3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Koordinierung von Arbeiten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Gegenseitige Gefährdungen ausschließen.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Abgrenzung von Zuständigkeiten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Erlaubnis- und Freigabescheine einholen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Koordinator mit Weisungsbefugnis bestellen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Maßnahmen wie – nicht übereinander arbeiten, Arbeitsbereiche absperren etc. definieren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Unterstützung bei der Gefährdungsbeurteilung und Unterweisung (BetrSichV, GefStoffV, BaustellV) bei Fremdfirmen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155"/>
                <w:lock w:val="contentLocked"/>
              </w:sdtPr>
              <w:sdtContent>
                <w:r>
                  <w:t xml:space="preserve">ArbSchG, ASiG, ChemG, DGUV</w:t>
                </w:r>
                <w:r>
                  <w:noBreakHyphen/>
                </w:r>
                <w:r>
                  <w:t xml:space="preserve">V 1, DGUV</w:t>
                </w:r>
                <w:r>
                  <w:noBreakHyphen/>
                </w:r>
                <w:r>
                  <w:t xml:space="preserve">V 38, TRBS, ArbMedVV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6.4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Prüfpflichtige technische Einrichtungen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Elektrische Anlagen und Betriebsmittel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Druckbehälter, Druckgeräte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Flurförderzeuge,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Fahrzeuge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Berührungslos wirkende Schutzeinrichtungen, Feuerlöscher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Prüfung durch befähigte Personen (früher: Sachverständige und Sachkundige)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Prüffristen festlegen und einhalten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Schriftliche Prüfnachweise (BetrSichV)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164"/>
                <w:lock w:val="contentLocked"/>
              </w:sdtPr>
              <w:sdtContent>
                <w:r>
                  <w:t xml:space="preserve">ArbSchG, ASiG, ChemG, DGUV</w:t>
                </w:r>
                <w:r>
                  <w:noBreakHyphen/>
                </w:r>
                <w:r>
                  <w:t xml:space="preserve">V 1, DGUV</w:t>
                </w:r>
                <w:r>
                  <w:noBreakHyphen/>
                </w:r>
                <w:r>
                  <w:t xml:space="preserve">V 38, TRBS, ArbMedVV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6.5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Beauftragung für spezielle Tätigkeiten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Flurförderzeuge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Krane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Arbeiten in Behältern und engen Räumen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Schweißen in explosions- und brandgefährdeten Bereichen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Eignung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Qualifikation, Nachweis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Unterweisung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Schriftliche Beauftragung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Eignungsuntersuchung G 25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175"/>
                <w:lock w:val="contentLocked"/>
              </w:sdtPr>
              <w:sdtContent>
                <w:r>
                  <w:t xml:space="preserve">ArbSchG, ASiG, ChemG, DGUV</w:t>
                </w:r>
                <w:r>
                  <w:noBreakHyphen/>
                </w:r>
                <w:r>
                  <w:t xml:space="preserve">V 1, DGUV</w:t>
                </w:r>
                <w:r>
                  <w:noBreakHyphen/>
                </w:r>
                <w:r>
                  <w:t xml:space="preserve">V 38, TRBS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6.6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Persönliche Schutzausrüstung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Geeignete Persönliche Schutzausrüstung nach EN ISO 11612 zur Verfügung stellen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Sachgerechte Prüfung, Pflege und Aufbewahrung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Rechtzeitiger Austausch (Tragezeitbegrenzungen)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Unterweisung mit Übungen bei Benutzung von Persönlicher Schutzausrüstung gegen besondere Gefahren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Durchsetzung der Benutzung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Arbeitsmedizinische Vorsorge z.B. Atemschutz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187"/>
                <w:lock w:val="contentLocked"/>
              </w:sdtPr>
              <w:sdtContent>
                <w:r>
                  <w:t xml:space="preserve">DGUV</w:t>
                </w:r>
                <w:r>
                  <w:noBreakHyphen/>
                </w:r>
                <w:r>
                  <w:t xml:space="preserve">V 68, DGUV</w:t>
                </w:r>
                <w:r>
                  <w:noBreakHyphen/>
                </w:r>
                <w:r>
                  <w:t xml:space="preserve">V 52, DGUV</w:t>
                </w:r>
                <w:r>
                  <w:noBreakHyphen/>
                </w:r>
                <w:r>
                  <w:t xml:space="preserve">R 113</w:t>
                </w:r>
                <w:r>
                  <w:noBreakHyphen/>
                </w:r>
                <w:r>
                  <w:t xml:space="preserve">004, 8.ProdSV, PSA</w:t>
                </w:r>
                <w:r>
                  <w:noBreakHyphen/>
                </w:r>
                <w:r>
                  <w:t xml:space="preserve">BV, DGUV</w:t>
                </w:r>
                <w:r>
                  <w:noBreakHyphen/>
                </w:r>
                <w:r>
                  <w:t xml:space="preserve">V 1, ArbSchG, ASiG, ChemG, TRBS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6.7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Organisation der Ersten Hilfe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Ersthelfer in ausreichender Zahl vor Ort: ab 20 Beschäftigte 10%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Meldeeinrichtung sicherstellen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Technische Einrichtung zur Ersten Hilfe (Notduschen, Augenspüleinrichtungen, Löschdecken)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Erste-Hilfe-Material bereitstellen, ergänzen und erneuern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1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Verbandbuch führen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198"/>
                <w:lock w:val="contentLocked"/>
              </w:sdtPr>
              <w:sdtContent>
                <w:r>
                  <w:t xml:space="preserve">ArbschG, ASiG, ChemG, DGUV</w:t>
                </w:r>
                <w:r>
                  <w:noBreakHyphen/>
                </w:r>
                <w:r>
                  <w:t xml:space="preserve">V 1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6.8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Flucht- und Rettungswege/ Sicherheitskennzeichnung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Meldeeinrichtungen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Sicherheitsleitsystem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Alarm-, Flucht- und Rettungspläne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Mit Flucht- und Rettungswegeplan vertraut machen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Unterweisung durch Kunden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Freihaltung von Flucht- und Rettungswegen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207"/>
                <w:lock w:val="contentLocked"/>
              </w:sdtPr>
              <w:sdtContent>
                <w:r>
                  <w:t xml:space="preserve">ASR A2.2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7. Gefährdungen und Belastungen durch ergonomische Mängel</w:t>
            </w:r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7.1 Beleuchtung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7.1.1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Unzureichende Beleuchtungsstärke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Schaffung optimaler Beleuchtungsverhältnisse durch Kunden sicherstellen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Angemessene Helligkeitsverteilung in Bezug auf die Arbeitsaufgabe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215"/>
                <w:lock w:val="contentLocked"/>
              </w:sdtPr>
              <w:sdtContent>
                <w:r>
                  <w:t xml:space="preserve">ArbStättV, ASR A3.4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7.2 Wahrnehmungs- und Handhabungsfaktoren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7.2.1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Schlechte Zugänglichkeit des Arbeitsplatzes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Enge Räume, erschwerte Zugänglichkeit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Anstreben verbesserter Zugänglichkeit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Sicherungsposten aufstellen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Kontakt sicherstellen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224"/>
                <w:lock w:val="contentLocked"/>
              </w:sdtPr>
              <w:sdtContent>
                <w:r>
                  <w:t xml:space="preserve">ArbStättV, DGUV</w:t>
                </w:r>
                <w:r>
                  <w:noBreakHyphen/>
                </w:r>
                <w:r>
                  <w:t xml:space="preserve">V 52, DGUV</w:t>
                </w:r>
                <w:r>
                  <w:noBreakHyphen/>
                </w:r>
                <w:r>
                  <w:t xml:space="preserve">V 70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7.3 Physische Belastungsfaktoren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7.3.1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Heben und Tragen schwerer Lasten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Einsatz von technischen Hilfsmitteln (Hebehilfen, Gabelstapler etc.)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Vermeidung ungünstiger Körperhaltungen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Gesundheitsförderung (Rückenschule)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Unterweisung im richtigen Heben und Tragen von Lasten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234"/>
                <w:lock w:val="contentLocked"/>
              </w:sdtPr>
              <w:sdtContent>
                <w:r>
                  <w:t xml:space="preserve">BK 2108, 2109, LasthandhabV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7.4.2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Steharbeit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Arbeitsorganisation (Belastungswechsel ermöglichen)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241"/>
                <w:lock w:val="contentLocked"/>
              </w:sdtPr>
              <w:sdtContent>
                <w:r>
                  <w:t xml:space="preserve">DGUV</w:t>
                </w:r>
                <w:r>
                  <w:noBreakHyphen/>
                </w:r>
                <w:r>
                  <w:t xml:space="preserve">I 215</w:t>
                </w:r>
                <w:r>
                  <w:noBreakHyphen/>
                </w:r>
                <w:r>
                  <w:t xml:space="preserve">410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8. Nervliche, mentale, psychische und soziale Belastung</w:t>
            </w:r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8.1 Nervliche, mentale und psychische Anforderungen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8.1.1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Zeit- und Verantwortungsdruck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Realistische Zeitvorgaben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Arbeitsorganisatorische Maßnahmen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Schaffung der Voraussetzungen für weitgehende Zeitautonomie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Beobachtung von stressbedingten Befindlichkeitsstörungen und Erkrankungen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251"/>
                <w:lock w:val="contentLocked"/>
              </w:sdtPr>
              <w:sdtContent>
                <w:r>
                  <w:t xml:space="preserve">DGUV</w:t>
                </w:r>
                <w:r>
                  <w:noBreakHyphen/>
                </w:r>
                <w:r>
                  <w:t xml:space="preserve">I 206</w:t>
                </w:r>
                <w:r>
                  <w:noBreakHyphen/>
                </w:r>
                <w:r>
                  <w:t xml:space="preserve">001, DGUV</w:t>
                </w:r>
                <w:r>
                  <w:noBreakHyphen/>
                </w:r>
                <w:r>
                  <w:t xml:space="preserve">I 206</w:t>
                </w:r>
                <w:r>
                  <w:noBreakHyphen/>
                </w:r>
                <w:r>
                  <w:t xml:space="preserve">010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8.2 Soziales Arbeitsumfeld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8.2.1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Mängel der sozialen Rahmenbedingungen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Mehrschichtarbeit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Anwendung geeigneter Schichtpläne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Anstreben ausreichender Pausen und Verpflegung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Beratung zum Verhalten (Schlaf, Ernährung) und bei arbeitszeitbedingten Problemen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Untersuchung auf Wunsch des Versicherten bei Nachtarbeit (ArbZG)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261"/>
                <w:lock w:val="contentLocked"/>
              </w:sdtPr>
              <w:sdtContent>
                <w:r>
                  <w:t xml:space="preserve">ArbZG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8.2.2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Sozialbedingungen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Konflikte/ Konkurrenzverhalten Kommunikation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Mitarbeiter auf den Baustellen Ansprechpartner bekannt machen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Verantwortliche in Aushängen benennen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Bei Verständnisschwierigkeiten (Sprachprobleme) Hilfe hinzuziehen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Nutzung von Symbolen und Piktogrammen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271"/>
                <w:lock w:val="contentLocked"/>
              </w:sdtPr>
              <w:sdtContent>
                <w:r>
                  <w:t xml:space="preserve">DGUV</w:t>
                </w:r>
                <w:r>
                  <w:noBreakHyphen/>
                </w:r>
                <w:r>
                  <w:t xml:space="preserve">I 206</w:t>
                </w:r>
                <w:r>
                  <w:noBreakHyphen/>
                </w:r>
                <w:r>
                  <w:t xml:space="preserve">013, DGUV</w:t>
                </w:r>
                <w:r>
                  <w:noBreakHyphen/>
                </w:r>
                <w:r>
                  <w:t xml:space="preserve">I 206</w:t>
                </w:r>
                <w:r>
                  <w:noBreakHyphen/>
                </w:r>
                <w:r>
                  <w:t xml:space="preserve">010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8.3 Sonstige psychische und physische Belastungsfaktoren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8.3.1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Alkohol- oder Drogenmissbrauch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Kein Alkohol in Kantine/ Getränkeautomat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Vorbildliches Verhalten von Führungskräften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Betriebsvereinbarungen zu Suchtmitteln treffen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Unter Suchtmitteln stehende Mitarbeiter nicht arbeiten lassen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Drogenberatungsstelle zur Beratung heranziehen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Klares und abgestuftes Vorgehen im Umgang mit Mitarbeitern, die Suchtmittel missbrauchen oder abhängig sind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283"/>
                <w:lock w:val="contentLocked"/>
              </w:sdtPr>
              <w:sdtContent>
                <w:r>
                  <w:t xml:space="preserve">DGUV</w:t>
                </w:r>
                <w:r>
                  <w:noBreakHyphen/>
                </w:r>
                <w:r>
                  <w:t xml:space="preserve">I 206</w:t>
                </w:r>
                <w:r>
                  <w:noBreakHyphen/>
                </w:r>
                <w:r>
                  <w:t xml:space="preserve">009, DGUV</w:t>
                </w:r>
                <w:r>
                  <w:noBreakHyphen/>
                </w:r>
                <w:r>
                  <w:t xml:space="preserve">I 206</w:t>
                </w:r>
                <w:r>
                  <w:noBreakHyphen/>
                </w:r>
                <w:r>
                  <w:t xml:space="preserve">010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9. Eignung Persönlicher Schutzausrüstung und Belastungen durch deren Benutzung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9.1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Hautschutz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40" w:line="240" w:lineRule="auto"/>
            </w:pPr>
            <w:r>
              <w:drawing>
                <wp:inline distT="0" distB="0" distL="0" distR="0">
                  <wp:extent cx="432000" cy="432000"/>
                  <wp:docPr id="5001" name="Piktogramm 50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1" name="Piktogramm 5001"/>
                          <pic:cNvPicPr/>
                        </pic:nvPicPr>
                        <pic:blipFill>
                          <a:blip r:embed="rIdImg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Geeignete Schutzhandschuhe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Betrieblicher Hautschutzplan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Beachtung TRGS 401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Pflegemittel zur Verfügung stellen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DGUV-I 212-014 “Hautschutz”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Gefahr- und belastungslose Kombinationsmöglichkeit mit anderer PSA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295"/>
                <w:lock w:val="contentLocked"/>
              </w:sdtPr>
              <w:sdtContent>
                <w:r>
                  <w:t xml:space="preserve">DGUV</w:t>
                </w:r>
                <w:r>
                  <w:noBreakHyphen/>
                </w:r>
                <w:r>
                  <w:t xml:space="preserve">I 209</w:t>
                </w:r>
                <w:r>
                  <w:noBreakHyphen/>
                </w:r>
                <w:r>
                  <w:t xml:space="preserve">022, DGUV</w:t>
                </w:r>
                <w:r>
                  <w:noBreakHyphen/>
                </w:r>
                <w:r>
                  <w:t xml:space="preserve">I 212</w:t>
                </w:r>
                <w:r>
                  <w:noBreakHyphen/>
                </w:r>
                <w:r>
                  <w:t xml:space="preserve">015, DGUV</w:t>
                </w:r>
                <w:r>
                  <w:noBreakHyphen/>
                </w:r>
                <w:r>
                  <w:t xml:space="preserve">I 212</w:t>
                </w:r>
                <w:r>
                  <w:noBreakHyphen/>
                </w:r>
                <w:r>
                  <w:t xml:space="preserve">017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9.2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Handschutz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40" w:line="240" w:lineRule="auto"/>
            </w:pPr>
            <w:r>
              <w:drawing>
                <wp:inline distT="0" distB="0" distL="0" distR="0">
                  <wp:extent cx="432000" cy="432000"/>
                  <wp:docPr id="5002" name="Piktogramm 50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2" name="Piktogramm 5002"/>
                          <pic:cNvPicPr/>
                        </pic:nvPicPr>
                        <pic:blipFill>
                          <a:blip r:embed="rIdImg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Betrieblicher Hautschutzplan aushängen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Geeignete Aufbewahrungsmöglichkeiten (Trockengestelle)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Pflegemittel zur Verfügung stellen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DGUV-R 212-195 „Benutzung von Schutzhandschuhen“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Gefahr- und belastungslose Kombinationsmöglichkeit mit anderer PSA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306"/>
                <w:lock w:val="contentLocked"/>
              </w:sdtPr>
              <w:sdtContent>
                <w:r>
                  <w:t xml:space="preserve">DGUV</w:t>
                </w:r>
                <w:r>
                  <w:noBreakHyphen/>
                </w:r>
                <w:r>
                  <w:t xml:space="preserve">I 212</w:t>
                </w:r>
                <w:r>
                  <w:noBreakHyphen/>
                </w:r>
                <w:r>
                  <w:t xml:space="preserve">017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9.3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Kopfschutz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40" w:line="240" w:lineRule="auto"/>
            </w:pPr>
            <w:r>
              <w:drawing>
                <wp:inline distT="0" distB="0" distL="0" distR="0">
                  <wp:extent cx="432000" cy="432000"/>
                  <wp:docPr id="5003" name="Piktogramm 50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3" name="Piktogramm 5003"/>
                          <pic:cNvPicPr/>
                        </pic:nvPicPr>
                        <pic:blipFill>
                          <a:blip r:embed="rIdImg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DGUV-R 112-193 „Benutzung von Kopfschutz“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Auf Helmherkunft achten: nicht älter als 5 Jahre, keine Beschädigungen oder Risse</w:t>
            </w:r>
          </w:p>
        </w:tc>
        <w:tc>
          <w:tcPr>
            <w:tcW w:w="140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9.4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Gehörschutz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40" w:line="240" w:lineRule="auto"/>
            </w:pPr>
            <w:r>
              <w:drawing>
                <wp:inline distT="0" distB="0" distL="0" distR="0">
                  <wp:extent cx="432000" cy="432000"/>
                  <wp:docPr id="5004" name="Piktogramm 50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4" name="Piktogramm 5004"/>
                          <pic:cNvPicPr/>
                        </pic:nvPicPr>
                        <pic:blipFill>
                          <a:blip r:embed="rIdImg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Der Belastung entsprech. Gehörsch. Bereitst.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Individuelle Anpassung der Gehörschutzmittel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Arbeitsmedizinische Vorsorge G 20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Arbeitshygiene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DGUV-R 112-194 „Benutzung von Gehörschutz“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Gefahr- und belastungslose Kombinationsmöglichkeit mit anderer PSA</w:t>
            </w:r>
          </w:p>
        </w:tc>
        <w:tc>
          <w:tcPr>
            <w:tcW w:w="140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9.5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Augen-/Gesichtsschutz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40" w:line="240" w:lineRule="auto"/>
            </w:pPr>
            <w:r>
              <w:drawing>
                <wp:inline distT="0" distB="0" distL="0" distR="0">
                  <wp:extent cx="432000" cy="432000"/>
                  <wp:docPr id="5005" name="Piktogramm 50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5" name="Piktogramm 5005"/>
                          <pic:cNvPicPr/>
                        </pic:nvPicPr>
                        <pic:blipFill>
                          <a:blip r:embed="rIdImg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DGUV-R 112-192 „Benutzung von Augen- und Gesichtsschutz“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Seitliche geschlossenen Schutzbrille bei Arbeiten wie Sandstrahlen und splitternden Materialien</w:t>
            </w:r>
          </w:p>
        </w:tc>
        <w:tc>
          <w:tcPr>
            <w:tcW w:w="140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9.6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Fußschutz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40" w:line="240" w:lineRule="auto"/>
            </w:pPr>
            <w:r>
              <w:drawing>
                <wp:inline distT="0" distB="0" distL="0" distR="0">
                  <wp:extent cx="432000" cy="432000"/>
                  <wp:docPr id="5006" name="Piktogramm 50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6" name="Piktogramm 5006"/>
                          <pic:cNvPicPr/>
                        </pic:nvPicPr>
                        <pic:blipFill>
                          <a:blip r:embed="rIdImg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DGUV-R 112-191 „Benutzung von Fuß- und Knieschutz“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Sicherheitsschuhe S 3</w:t>
            </w:r>
          </w:p>
        </w:tc>
        <w:tc>
          <w:tcPr>
            <w:tcW w:w="140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9.7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Atemschutz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40" w:line="240" w:lineRule="auto"/>
            </w:pPr>
            <w:r>
              <w:drawing>
                <wp:inline distT="0" distB="0" distL="0" distR="0">
                  <wp:extent cx="432000" cy="432000"/>
                  <wp:docPr id="5007" name="Piktogramm 50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7" name="Piktogramm 5007"/>
                          <pic:cNvPicPr/>
                        </pic:nvPicPr>
                        <pic:blipFill>
                          <a:blip r:embed="rIdImg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Tageszeitbegrenzung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Geeignete Aufbewahrungsmöglichkeiten (geschlossene Behälter außerhalb des Expositionsbereiches)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Hygiene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Arbeitsmedizinische Vorsorge G 26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DGUV-R 112-190 „Benutzung von Atemschutz“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Bartträger dürfen keinen Atemschutz tragen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Hinweise auf Ende der Gebrauchsdauer erkennen (Erhöhung Einatmenwiderstand, Reizerscheinungen)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tab/>
            </w:r>
            <w:r>
              <w:t xml:space="preserve">Gefahr- und belastungslose Kombinationsmöglichkeit mit anderer PSA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351"/>
                <w:lock w:val="contentLocked"/>
              </w:sdtPr>
              <w:sdtContent>
                <w:r>
                  <w:t xml:space="preserve">ArbMedVV, DGUV</w:t>
                </w:r>
                <w:r>
                  <w:noBreakHyphen/>
                </w:r>
                <w:r>
                  <w:t xml:space="preserve">R 112</w:t>
                </w:r>
                <w:r>
                  <w:noBreakHyphen/>
                </w:r>
                <w:r>
                  <w:t xml:space="preserve">190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548DD4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  <w:color w:val="FFFFFF"/>
              </w:rPr>
              <w:t xml:space="preserve">Teil B: Gewerk Anheben der Zyklone</w:t>
            </w:r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1. Mechanische Gefährdungen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Z1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Gefährliche Oberflächen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Scharfkantige Oberflächen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Quetschgefahr beim Tragen der Platten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Heiße Oberflächen an Zyklonen und Bauteilen an denen geschweißt wird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Technische Hilfsmittel verwenden (Hebe und Transporthilfen benutzen)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Persönliche Schutzausrüstung: mindestens Sicherheitsschuhe S3, geeignete Arbeitskleidung und Handschutz Klasse 4/5 Oder D/E/F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Persönliche Schutzausrüstung: mindestens Sicherheitsschuhe S3, geeignete Arbeitskleidung und Handschutz Klasse 4/5 Oder D/E/F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360"/>
                <w:lock w:val="contentLocked"/>
              </w:sdtPr>
              <w:sdtContent>
                <w:r>
                  <w:t xml:space="preserve">BetrSichV, TRBS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08.06.2026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Z2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Einsatz von Staplern, Kranen und anderen Hebezeugen</w:t>
            </w:r>
          </w:p>
          <w:p>
            <w:pPr>
              <w:spacing w:before="0" w:after="0" w:line="240" w:lineRule="auto"/>
            </w:pPr>
            <w:r>
              <w:t xml:space="preserve">Sowie Hydraulikhebern</w:t>
            </w:r>
          </w:p>
          <w:p>
            <w:pPr>
              <w:spacing w:before="0" w:after="0" w:line="240" w:lineRule="auto"/>
            </w:pPr>
            <w:r>
              <w:t xml:space="preserve">bei der Montage des Stahlbaus auf den Ebenen 4 bis 6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Hantieren mit schweren Lasten, Umkippen von Stützen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Abstürzen, Herabstürzen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Sichere, markierte Transportwege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Einhaltung von Sicherheitsabständen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Für das Manipulieren von schweren Lasten ein Prozedere ausarbeiten und die erforderliche Ausrüstung zur Verfügung stellen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Ausbildung von Führern und Bedienern der Hebezeuge und Transportmittel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Schriftliche Beauftragung von Führern und Bedienern der Hebezeuge + Transportmittel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Eignungsuntersuchung für Führer/ Bediener der Transportmittel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BAW sachgerechtes Anschlagen von Lasten ist einzuhalten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Kein Aufenthalt unter schwebenden Lasten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374"/>
                <w:lock w:val="contentLocked"/>
              </w:sdtPr>
              <w:sdtContent>
                <w:r>
                  <w:t xml:space="preserve">ProdSV, BetrSichV, ArbStättV, DGUV</w:t>
                </w:r>
                <w:r>
                  <w:noBreakHyphen/>
                </w:r>
                <w:r>
                  <w:t xml:space="preserve">V 68, DGUV</w:t>
                </w:r>
                <w:r>
                  <w:noBreakHyphen/>
                </w:r>
                <w:r>
                  <w:t xml:space="preserve">V 70, TRBS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08.06.2026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Z3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Arbeiten in engen Räumen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t xml:space="preserve">Fügen der Gasleitungen nach dem Anheben der Zyklone</w:t>
            </w:r>
          </w:p>
          <w:p>
            <w:pPr>
              <w:spacing w:before="0" w:after="0" w:line="240" w:lineRule="auto"/>
            </w:pPr>
            <w:r>
              <w:t xml:space="preserve">Einsetzen und verschweißen der Bleche von Innen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Erlaubnisschein Arbeiten in engen Räumen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HSE 104 vorweisen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Vor Beginn und während der Arbeiten prüfen, ob eine Gefährdung durch Gase, zu geringe Sauerstoffkonzentration besteht. (Sauerstoffmessgerät)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Mitarbeiter regelmäßig über die besonderen Gefahren und entsprechenden Schutz- und Rettungsmaßnahmen unterweisen.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Benennung eines Aufsichtführenden, der die Einhaltung der Schutzmaßnahmen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Falls notwendig Lüftungsmaßnahmen durchführen, für Belüftung sorgen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An einer Zugangsöffnung Sicherungsposten einsetzen, der mit den Beschäftigten im Inneren in Kontakt steht (Sichtverbindung, Sprech- Funkverbindung) und der jederzeit Hilfe herbeirufen kann, ohne seinen Posten zu verlassen.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Fluchtwege freihalten.</w:t>
            </w:r>
          </w:p>
        </w:tc>
        <w:tc>
          <w:tcPr>
            <w:tcW w:w="140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Z4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Arbeiten im Wärmetauscherturm</w:t>
            </w:r>
          </w:p>
          <w:p>
            <w:pPr>
              <w:spacing w:before="0" w:after="0" w:line="240" w:lineRule="auto"/>
            </w:pPr>
            <w:r>
              <w:t xml:space="preserve">Ebenen 4 bis 6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t xml:space="preserve">Absturzgefahr durch:</w:t>
            </w:r>
          </w:p>
          <w:p>
            <w:pPr>
              <w:spacing w:before="0" w:after="0" w:line="240" w:lineRule="auto"/>
            </w:pPr>
            <w:r>
              <w:t xml:space="preserve">Bodenöffnungen</w:t>
            </w:r>
          </w:p>
          <w:p>
            <w:pPr>
              <w:spacing w:before="0" w:after="0" w:line="240" w:lineRule="auto"/>
            </w:pPr>
            <w:r>
              <w:t xml:space="preserve">Geöffnete Rohre und Zyklone</w:t>
            </w:r>
          </w:p>
          <w:p>
            <w:pPr>
              <w:spacing w:before="0" w:after="0" w:line="240" w:lineRule="auto"/>
            </w:pPr>
            <w:r>
              <w:t xml:space="preserve">Gerüste die die Brüstung überragen</w:t>
            </w:r>
          </w:p>
          <w:p>
            <w:pPr>
              <w:spacing w:before="0" w:after="0" w:line="240" w:lineRule="auto"/>
            </w:pPr>
            <w:r>
              <w:t xml:space="preserve">Herabfallende Bauteile von darüber liegenden Ebenen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Bedingungen der HSE 101 beachten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Flucht und Rettungswege auf jeden Fall und immer freihalten.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Mitarbeiter regelmäßig über die besonderen Gefahren auf den Ebenen im Wärmetauscher hinweisen und kontrollieren.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Einhaltung der Schutzmaßnahmen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3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Öffnungen schnellstmöglich verschließen</w:t>
            </w:r>
          </w:p>
        </w:tc>
        <w:tc>
          <w:tcPr>
            <w:tcW w:w="140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548DD4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  <w:color w:val="FFFFFF"/>
              </w:rPr>
              <w:t xml:space="preserve">Teil C: Standort Holcim Werk Höver</w:t>
            </w:r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1. Mechanische Gefährdungen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H1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Ungeschützte bewegte Maschinenteile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Ingangsetzen von Anlagenteilen</w:t>
            </w:r>
          </w:p>
          <w:p>
            <w:pPr>
              <w:spacing w:before="0" w:after="0" w:line="240" w:lineRule="auto"/>
            </w:pPr>
            <w:r>
              <w:rPr>
                <w:i/>
                <w:iCs/>
              </w:rPr>
              <w:t xml:space="preserve">(Fördertechnik, Klappen etc.)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Wenn an diesen Teilen gearbeitet werden muss, werden im Vorfeld die Teile gesichert.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Entspannen von Hydraulik- und Druckluftsystemen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LoToTo Verfahren durchführen gemäß Holcim Procedere (HSE 103)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406"/>
                <w:lock w:val="contentLocked"/>
              </w:sdtPr>
              <w:sdtContent>
                <w:r>
                  <w:t xml:space="preserve">9.ProdSV, BetrSichV, TRBS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H2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Nutzung von unter Druck stehende und austretende Medien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t xml:space="preserve">Verwendung von Druckluft- und Hydraulikschläuchen</w:t>
            </w:r>
          </w:p>
          <w:p>
            <w:pPr>
              <w:spacing w:before="0" w:after="0" w:line="240" w:lineRule="auto"/>
            </w:pPr>
            <w:r>
              <w:t xml:space="preserve">Unkontrolliert austretendes Heißmehl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Bauteile, Leitungen, Schlauchleitungen richtig dimensionieren und befestigen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Regelmäßige Prüfungen der pressluft- und hydraulisch getriebenen Arbeitswerkzeuge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Persönliche Schutzausrüstung: Seitl. geschl. Schutzbrille, Sicherheitsschuhe S 3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Bereich sofort geordnet verlassen Arbeitskleidung gemäß EN ISO 11612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416"/>
                <w:lock w:val="contentLocked"/>
              </w:sdtPr>
              <w:sdtContent>
                <w:r>
                  <w:t xml:space="preserve">BetrSichV, 14.ProdSV, GefStoffV, TRBS, TRGS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 WIM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3. Gefahrstoffe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H3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Heissmehl</w:t>
            </w:r>
          </w:p>
          <w:p>
            <w:pPr>
              <w:spacing w:before="0" w:after="0" w:line="240" w:lineRule="auto"/>
            </w:pPr>
            <w:r>
              <w:t xml:space="preserve">Heißes Mehl</w:t>
            </w:r>
          </w:p>
          <w:p>
            <w:pPr>
              <w:spacing w:before="0" w:after="0" w:line="240" w:lineRule="auto"/>
            </w:pPr>
            <w:r>
              <w:t xml:space="preserve">Heiße Stäube</w:t>
            </w:r>
          </w:p>
          <w:p>
            <w:pPr>
              <w:spacing w:before="0" w:after="0" w:line="240" w:lineRule="auto"/>
            </w:pPr>
            <w:r>
              <w:t xml:space="preserve">Heißer Klinker</w:t>
            </w:r>
          </w:p>
          <w:p>
            <w:pPr>
              <w:spacing w:before="0" w:after="0" w:line="240" w:lineRule="auto"/>
            </w:pPr>
            <w:r>
              <w:t xml:space="preserve">gesundheitsschädigende Stäube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Keine Tätigkeiten ohne spezielle Freigabe in den Bereichen mit Heißmehlgefährdung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Bei akuter Gefahr: nur mit spezieller vom Kunden beigestellter Heißmehlkleidung arbeiten!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Keine Arbeiten ohne Aufsicht eines Verantwortlichen aus dem Werk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425"/>
                <w:lock w:val="contentLocked"/>
              </w:sdtPr>
              <w:sdtContent>
                <w:r>
                  <w:t xml:space="preserve">GefStoffV, ArbMedVV, TRGS 900, 402, 500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H4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Kadaver und Kot</w:t>
            </w: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  <w:r>
              <w:t xml:space="preserve">Auf den Ebenen liegen tote Tauben und deren Kot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Nein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Kadaver und Kot von Tauben nur mit geeigneter Schutzkleidung entsorgen.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Atemschutz (Partikelfilter min. P2 oder FFP2)</w:t>
            </w:r>
          </w:p>
        </w:tc>
        <w:tc>
          <w:tcPr>
            <w:tcW w:w="1400" w:type="dxa"/>
            <w:shd w:val="clear" w:color="auto" w:fill="EDEDED"/>
            <w:vAlign w:val="top"/>
          </w:tcPr>
          <w:p>
            <w:pPr>
              <w:spacing w:before="0" w:after="0" w:line="240" w:lineRule="auto"/>
            </w:pPr>
            <w:sdt>
              <w:sdtPr>
                <w:alias w:val="Gesetze"/>
                <w:tag w:val="Gesetze"/>
                <w:id w:val="1433"/>
                <w:lock w:val="contentLocked"/>
              </w:sdtPr>
              <w:sdtContent>
                <w:r>
                  <w:t xml:space="preserve">TRGS 554, ArbMedVV</w:t>
                </w:r>
              </w:sdtContent>
            </w:sdt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>
        <w:trPr>
          <w:cantSplit/>
        </w:trPr>
        <w:tc>
          <w:tcPr>
            <w:tcW w:w="15398" w:type="dxa"/>
            <w:gridSpan w:val="12"/>
            <w:shd w:val="clear" w:color="auto" w:fill="F2F2F2"/>
            <w:vAlign w:val="top"/>
          </w:tcPr>
          <w:p>
            <w:pPr>
              <w:keepNext/>
              <w:spacing w:before="0" w:after="0" w:line="240" w:lineRule="auto"/>
            </w:pPr>
            <w:r>
              <w:rPr>
                <w:b/>
                <w:bCs/>
              </w:rPr>
              <w:t xml:space="preserve">5. Spezielle physikalische Gefährdungen</w:t>
            </w:r>
          </w:p>
        </w:tc>
      </w:tr>
      <w:tr>
        <w:trPr>
          <w:cantSplit/>
        </w:trPr>
        <w:tc>
          <w:tcPr>
            <w:tcW w:w="640" w:type="dxa"/>
            <w:vAlign w:val="top"/>
          </w:tcPr>
          <w:p>
            <w:pPr>
              <w:spacing w:before="0" w:after="0" w:line="240" w:lineRule="auto"/>
            </w:pPr>
            <w:r>
              <w:t xml:space="preserve">H5</w:t>
            </w:r>
          </w:p>
        </w:tc>
        <w:tc>
          <w:tcPr>
            <w:tcW w:w="3000" w:type="dxa"/>
            <w:vAlign w:val="top"/>
          </w:tcPr>
          <w:p>
            <w:pPr>
              <w:spacing w:before="0" w:after="0" w:line="240" w:lineRule="auto"/>
            </w:pPr>
            <w:r>
              <w:t xml:space="preserve">Temperaturbelastung / Hitze</w:t>
            </w:r>
          </w:p>
          <w:p>
            <w:pPr>
              <w:spacing w:before="0" w:after="0" w:line="240" w:lineRule="auto"/>
            </w:pPr>
            <w:r>
              <w:t xml:space="preserve">Oberflächentemperatur bis 170°C</w:t>
            </w:r>
          </w:p>
          <w:p>
            <w:pPr>
              <w:spacing w:before="0" w:after="0" w:line="240" w:lineRule="auto"/>
            </w:pPr>
            <w:r>
              <w:t xml:space="preserve">Umgebungstemperatur größer 50°C</w:t>
            </w:r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1150" w:type="dxa"/>
            <w:vAlign w:val="top"/>
          </w:tcPr>
          <w:p>
            <w:pPr>
              <w:spacing w:before="0" w:after="0" w:line="240" w:lineRule="auto"/>
            </w:pPr>
            <w:r>
              <w:t xml:space="preserve">JA</w:t>
            </w:r>
          </w:p>
        </w:tc>
        <w:tc>
          <w:tcPr>
            <w:tcW w:w="4850" w:type="dxa"/>
            <w:vAlign w:val="top"/>
          </w:tcPr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Nur geeigneter Arbeitskleidung nach EN 11161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Genügend Trink- und Erholungspausen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Wenn möglich das Personal vor Strahlung schützen</w:t>
            </w:r>
          </w:p>
          <w:p>
            <w:pPr>
              <w:tabs>
                <w:tab w:val="left" w:pos="300"/>
              </w:tabs>
              <w:spacing w:before="0" w:after="20" w:line="240" w:lineRule="auto"/>
              <w:ind w:left="300" w:hanging="300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>
              <w:tab/>
            </w:r>
            <w:r>
              <w:t xml:space="preserve">Arbeitszeit den äußeren Witterungseinflüssen anpassen</w:t>
            </w:r>
          </w:p>
        </w:tc>
        <w:tc>
          <w:tcPr>
            <w:tcW w:w="1400" w:type="dxa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060" w:type="dxa"/>
            <w:vAlign w:val="top"/>
          </w:tcPr>
          <w:p>
            <w:pPr>
              <w:spacing w:before="0" w:after="0" w:line="240" w:lineRule="auto"/>
            </w:pPr>
            <w:r>
              <w:t xml:space="preserve">15.06.2026</w:t>
            </w:r>
          </w:p>
        </w:tc>
        <w:tc>
          <w:tcPr>
            <w:tcW w:w="1040" w:type="dxa"/>
            <w:vAlign w:val="top"/>
          </w:tcPr>
          <w:p>
            <w:pPr>
              <w:spacing w:before="0" w:after="0" w:line="240" w:lineRule="auto"/>
            </w:pPr>
            <w:r>
              <w:t xml:space="preserve">WIM / Holcim</w:t>
            </w:r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529" w:type="dxa"/>
            <w:vAlign w:val="top"/>
          </w:tcPr>
          <w:p>
            <w:pPr>
              <w:spacing w:before="0" w:after="0" w:line="240" w:lineRule="auto"/>
              <w:jc w:val="center"/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>
      <w:r>
        <w:br w:type="page"/>
      </w:r>
    </w:p>
    <w:p>
      <w:pPr>
        <w:spacing w:before="0" w:after="120" w:line="240" w:lineRule="auto"/>
      </w:pPr>
      <w:r>
        <w:rPr>
          <w:b/>
          <w:bCs/>
          <w:sz w:val="24"/>
          <w:szCs w:val="24"/>
        </w:rPr>
        <w:t xml:space="preserve">Risikoeinschätzung</w:t>
      </w:r>
    </w:p>
    <w:p>
      <w:pPr>
        <w:spacing w:before="0" w:after="160" w:line="240" w:lineRule="auto"/>
      </w:pPr>
      <w:r>
        <w:rPr>
          <w:sz w:val="20"/>
          <w:szCs w:val="20"/>
        </w:rPr>
        <w:t xml:space="preserve">Mit diesem Schema ist es möglich, anhand der Kriterien „Schadensausmaß“ und „Wahrscheinlichkeit“ das Risiko abzustufen und damit die Dringlichkeit von Maßnahmen zu veranschaulichen.</w:t>
      </w: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400"/>
        <w:gridCol w:w="7000"/>
      </w:tblGrid>
      <w:tr>
        <w:trPr/>
        <w:tc>
          <w:tcPr>
            <w:tcW w:w="2400" w:type="dxa"/>
            <w:shd w:val="clear" w:color="auto" w:fill="F2F2F2"/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Risikogruppe</w:t>
            </w:r>
          </w:p>
        </w:tc>
        <w:tc>
          <w:tcPr>
            <w:tcW w:w="1400" w:type="dxa"/>
            <w:shd w:val="clear" w:color="auto" w:fill="F2F2F2"/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Risiko</w:t>
            </w:r>
          </w:p>
        </w:tc>
        <w:tc>
          <w:tcPr>
            <w:tcW w:w="7000" w:type="dxa"/>
            <w:shd w:val="clear" w:color="auto" w:fill="F2F2F2"/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Maßnahmen</w:t>
            </w:r>
          </w:p>
        </w:tc>
      </w:tr>
      <w:tr>
        <w:trPr>
          <w:cantSplit/>
        </w:trPr>
        <w:tc>
          <w:tcPr>
            <w:tcW w:w="2400" w:type="dxa"/>
            <w:shd w:val="clear" w:color="auto" w:fill="E6E6E6"/>
            <w:vAlign w:val="center"/>
          </w:tcPr>
          <w:p>
            <w:pPr>
              <w:spacing w:before="0" w:after="0" w:line="240" w:lineRule="auto"/>
            </w:pPr>
            <w:r>
              <w:t xml:space="preserve">Risikogruppe 1</w:t>
            </w:r>
          </w:p>
        </w:tc>
        <w:tc>
          <w:tcPr>
            <w:tcW w:w="1400" w:type="dxa"/>
            <w:shd w:val="clear" w:color="auto" w:fill="E6E6E6"/>
            <w:vAlign w:val="center"/>
          </w:tcPr>
          <w:p>
            <w:pPr>
              <w:spacing w:before="0" w:after="0" w:line="240" w:lineRule="auto"/>
            </w:pPr>
            <w:r>
              <w:t xml:space="preserve">klein</w:t>
            </w:r>
          </w:p>
        </w:tc>
        <w:tc>
          <w:tcPr>
            <w:tcW w:w="7000" w:type="dxa"/>
            <w:shd w:val="clear" w:color="auto" w:fill="E6E6E6"/>
            <w:vAlign w:val="center"/>
          </w:tcPr>
          <w:p>
            <w:pPr>
              <w:spacing w:before="0" w:after="0" w:line="240" w:lineRule="auto"/>
            </w:pPr>
            <w:r>
              <w:t xml:space="preserve">Maßnahmen organisatorisch und personenbezogen ausreichend</w:t>
            </w:r>
          </w:p>
        </w:tc>
      </w:tr>
      <w:tr>
        <w:trPr>
          <w:cantSplit/>
        </w:trPr>
        <w:tc>
          <w:tcPr>
            <w:tcW w:w="2400" w:type="dxa"/>
            <w:shd w:val="clear" w:color="auto" w:fill="CCFFFF"/>
            <w:vAlign w:val="center"/>
          </w:tcPr>
          <w:p>
            <w:pPr>
              <w:spacing w:before="0" w:after="0" w:line="240" w:lineRule="auto"/>
            </w:pPr>
            <w:r>
              <w:t xml:space="preserve">Risikogruppe 2</w:t>
            </w:r>
          </w:p>
        </w:tc>
        <w:tc>
          <w:tcPr>
            <w:tcW w:w="1400" w:type="dxa"/>
            <w:shd w:val="clear" w:color="auto" w:fill="CCFFFF"/>
            <w:vAlign w:val="center"/>
          </w:tcPr>
          <w:p>
            <w:pPr>
              <w:spacing w:before="0" w:after="0" w:line="240" w:lineRule="auto"/>
            </w:pPr>
            <w:r>
              <w:t xml:space="preserve">mittel</w:t>
            </w:r>
          </w:p>
        </w:tc>
        <w:tc>
          <w:tcPr>
            <w:tcW w:w="7000" w:type="dxa"/>
            <w:shd w:val="clear" w:color="auto" w:fill="CCFFFF"/>
            <w:vAlign w:val="center"/>
          </w:tcPr>
          <w:p>
            <w:pPr>
              <w:spacing w:before="0" w:after="0" w:line="240" w:lineRule="auto"/>
            </w:pPr>
            <w:r>
              <w:t xml:space="preserve">Maßnahmen mit normaler Schutzwirkung notwendig</w:t>
            </w:r>
          </w:p>
        </w:tc>
      </w:tr>
      <w:tr>
        <w:trPr>
          <w:cantSplit/>
        </w:trPr>
        <w:tc>
          <w:tcPr>
            <w:tcW w:w="2400" w:type="dxa"/>
            <w:shd w:val="clear" w:color="auto" w:fill="8DB3E2"/>
            <w:vAlign w:val="center"/>
          </w:tcPr>
          <w:p>
            <w:pPr>
              <w:spacing w:before="0" w:after="0" w:line="240" w:lineRule="auto"/>
            </w:pPr>
            <w:r>
              <w:t xml:space="preserve">Risikogruppe 3</w:t>
            </w:r>
          </w:p>
        </w:tc>
        <w:tc>
          <w:tcPr>
            <w:tcW w:w="1400" w:type="dxa"/>
            <w:shd w:val="clear" w:color="auto" w:fill="8DB3E2"/>
            <w:vAlign w:val="center"/>
          </w:tcPr>
          <w:p>
            <w:pPr>
              <w:spacing w:before="0" w:after="0" w:line="240" w:lineRule="auto"/>
            </w:pPr>
            <w:r>
              <w:t xml:space="preserve">groß</w:t>
            </w:r>
          </w:p>
        </w:tc>
        <w:tc>
          <w:tcPr>
            <w:tcW w:w="7000" w:type="dxa"/>
            <w:shd w:val="clear" w:color="auto" w:fill="8DB3E2"/>
            <w:vAlign w:val="center"/>
          </w:tcPr>
          <w:p>
            <w:pPr>
              <w:spacing w:before="0" w:after="0" w:line="240" w:lineRule="auto"/>
            </w:pPr>
            <w:r>
              <w:t xml:space="preserve">Maßnahmen mit erhöhter Schutzwirkung dringend notwendig</w:t>
            </w:r>
          </w:p>
        </w:tc>
      </w:tr>
    </w:tbl>
    <w:p>
      <w:pPr>
        <w:spacing w:before="0" w:after="240" w:line="240" w:lineRule="auto"/>
      </w:pPr>
    </w:p>
    <w:p>
      <w:pPr>
        <w:keepNext/>
        <w:spacing w:before="0" w:after="120" w:line="240" w:lineRule="auto"/>
      </w:pPr>
      <w:r>
        <w:rPr>
          <w:b/>
          <w:bCs/>
          <w:sz w:val="22"/>
          <w:szCs w:val="22"/>
        </w:rPr>
        <w:t xml:space="preserve">Arbeitshilfe zur Risikoeinschätzung</w:t>
      </w:r>
    </w:p>
    <w:tbl>
      <w:tblPr>
        <w:tblW w:w="12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500"/>
        <w:gridCol w:w="1900"/>
        <w:gridCol w:w="1900"/>
        <w:gridCol w:w="1900"/>
        <w:gridCol w:w="1900"/>
        <w:gridCol w:w="1900"/>
      </w:tblGrid>
      <w:tr>
        <w:trPr>
          <w:cantSplit/>
        </w:trPr>
        <w:tc>
          <w:tcPr>
            <w:tcW w:w="2700" w:type="dxa"/>
            <w:gridSpan w:val="2"/>
            <w:vMerge w:val="restart"/>
            <w:shd w:val="clear" w:color="auto" w:fill="F2F2F2"/>
            <w:vAlign w:val="bottom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Wahrscheinlichkeit (W)</w:t>
            </w:r>
          </w:p>
        </w:tc>
        <w:tc>
          <w:tcPr>
            <w:tcW w:w="9500" w:type="dxa"/>
            <w:gridSpan w:val="5"/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Schadensausmaß (S)</w:t>
            </w:r>
          </w:p>
        </w:tc>
      </w:tr>
      <w:tr>
        <w:trPr>
          <w:cantSplit/>
        </w:trPr>
        <w:tc>
          <w:tcPr>
            <w:tcW w:w="2700" w:type="dxa"/>
            <w:gridSpan w:val="2"/>
            <w:vMerge/>
            <w:shd w:val="clear" w:color="auto" w:fill="F2F2F2"/>
            <w:vAlign w:val="top"/>
          </w:tcPr>
          <w:p>
            <w:pPr>
              <w:spacing w:before="0" w:after="0" w:line="240" w:lineRule="auto"/>
            </w:pPr>
          </w:p>
        </w:tc>
        <w:tc>
          <w:tcPr>
            <w:tcW w:w="1900" w:type="dxa"/>
            <w:shd w:val="clear" w:color="auto" w:fill="F2F2F2"/>
            <w:vAlign w:val="bottom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ohne Arbeitsausfall</w:t>
            </w:r>
          </w:p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I</w:t>
            </w:r>
          </w:p>
        </w:tc>
        <w:tc>
          <w:tcPr>
            <w:tcW w:w="1900" w:type="dxa"/>
            <w:shd w:val="clear" w:color="auto" w:fill="F2F2F2"/>
            <w:vAlign w:val="bottom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mit Arbeitsausfall</w:t>
            </w:r>
          </w:p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II</w:t>
            </w:r>
          </w:p>
        </w:tc>
        <w:tc>
          <w:tcPr>
            <w:tcW w:w="1900" w:type="dxa"/>
            <w:shd w:val="clear" w:color="auto" w:fill="F2F2F2"/>
            <w:vAlign w:val="bottom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leichter bleibender Gesundheitsschaden</w:t>
            </w:r>
          </w:p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III</w:t>
            </w:r>
          </w:p>
        </w:tc>
        <w:tc>
          <w:tcPr>
            <w:tcW w:w="1900" w:type="dxa"/>
            <w:shd w:val="clear" w:color="auto" w:fill="F2F2F2"/>
            <w:vAlign w:val="bottom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schwerer bleibender Gesundheitsschaden</w:t>
            </w:r>
          </w:p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IV</w:t>
            </w:r>
          </w:p>
        </w:tc>
        <w:tc>
          <w:tcPr>
            <w:tcW w:w="1900" w:type="dxa"/>
            <w:shd w:val="clear" w:color="auto" w:fill="F2F2F2"/>
            <w:vAlign w:val="bottom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Tod</w:t>
            </w:r>
          </w:p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V</w:t>
            </w:r>
          </w:p>
        </w:tc>
      </w:tr>
      <w:tr>
        <w:trPr>
          <w:trHeight w:val="560"/>
          <w:cantSplit/>
        </w:trPr>
        <w:tc>
          <w:tcPr>
            <w:tcW w:w="2200" w:type="dxa"/>
            <w:shd w:val="clear" w:color="auto" w:fill="F2F2F2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häufig</w:t>
            </w:r>
          </w:p>
        </w:tc>
        <w:tc>
          <w:tcPr>
            <w:tcW w:w="500" w:type="dxa"/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</w:rPr>
              <w:t xml:space="preserve">A</w:t>
            </w:r>
          </w:p>
        </w:tc>
        <w:tc>
          <w:tcPr>
            <w:tcW w:w="1900" w:type="dxa"/>
            <w:shd w:val="clear" w:color="auto" w:fill="E6E6E6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</w:t>
            </w:r>
          </w:p>
        </w:tc>
        <w:tc>
          <w:tcPr>
            <w:tcW w:w="1900" w:type="dxa"/>
            <w:shd w:val="clear" w:color="auto" w:fill="CCFFFF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</w:p>
        </w:tc>
        <w:tc>
          <w:tcPr>
            <w:tcW w:w="1900" w:type="dxa"/>
            <w:shd w:val="clear" w:color="auto" w:fill="8DB3E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</w:p>
        </w:tc>
        <w:tc>
          <w:tcPr>
            <w:tcW w:w="1900" w:type="dxa"/>
            <w:shd w:val="clear" w:color="auto" w:fill="8DB3E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</w:p>
        </w:tc>
        <w:tc>
          <w:tcPr>
            <w:tcW w:w="1900" w:type="dxa"/>
            <w:shd w:val="clear" w:color="auto" w:fill="8DB3E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</w:p>
        </w:tc>
      </w:tr>
      <w:tr>
        <w:trPr>
          <w:trHeight w:val="560"/>
          <w:cantSplit/>
        </w:trPr>
        <w:tc>
          <w:tcPr>
            <w:tcW w:w="2200" w:type="dxa"/>
            <w:shd w:val="clear" w:color="auto" w:fill="F2F2F2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gelegentlich</w:t>
            </w:r>
          </w:p>
        </w:tc>
        <w:tc>
          <w:tcPr>
            <w:tcW w:w="500" w:type="dxa"/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</w:rPr>
              <w:t xml:space="preserve">B</w:t>
            </w:r>
          </w:p>
        </w:tc>
        <w:tc>
          <w:tcPr>
            <w:tcW w:w="1900" w:type="dxa"/>
            <w:shd w:val="clear" w:color="auto" w:fill="E6E6E6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</w:t>
            </w:r>
          </w:p>
        </w:tc>
        <w:tc>
          <w:tcPr>
            <w:tcW w:w="1900" w:type="dxa"/>
            <w:shd w:val="clear" w:color="auto" w:fill="CCFFFF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</w:p>
        </w:tc>
        <w:tc>
          <w:tcPr>
            <w:tcW w:w="1900" w:type="dxa"/>
            <w:shd w:val="clear" w:color="auto" w:fill="8DB3E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</w:p>
        </w:tc>
        <w:tc>
          <w:tcPr>
            <w:tcW w:w="1900" w:type="dxa"/>
            <w:shd w:val="clear" w:color="auto" w:fill="8DB3E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</w:p>
        </w:tc>
        <w:tc>
          <w:tcPr>
            <w:tcW w:w="1900" w:type="dxa"/>
            <w:shd w:val="clear" w:color="auto" w:fill="8DB3E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</w:p>
        </w:tc>
      </w:tr>
      <w:tr>
        <w:trPr>
          <w:trHeight w:val="560"/>
          <w:cantSplit/>
        </w:trPr>
        <w:tc>
          <w:tcPr>
            <w:tcW w:w="2200" w:type="dxa"/>
            <w:shd w:val="clear" w:color="auto" w:fill="F2F2F2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selten</w:t>
            </w:r>
          </w:p>
        </w:tc>
        <w:tc>
          <w:tcPr>
            <w:tcW w:w="500" w:type="dxa"/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</w:rPr>
              <w:t xml:space="preserve">C</w:t>
            </w:r>
          </w:p>
        </w:tc>
        <w:tc>
          <w:tcPr>
            <w:tcW w:w="1900" w:type="dxa"/>
            <w:shd w:val="clear" w:color="auto" w:fill="E6E6E6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</w:t>
            </w:r>
          </w:p>
        </w:tc>
        <w:tc>
          <w:tcPr>
            <w:tcW w:w="1900" w:type="dxa"/>
            <w:shd w:val="clear" w:color="auto" w:fill="CCFFFF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</w:p>
        </w:tc>
        <w:tc>
          <w:tcPr>
            <w:tcW w:w="1900" w:type="dxa"/>
            <w:shd w:val="clear" w:color="auto" w:fill="CCFFFF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</w:p>
        </w:tc>
        <w:tc>
          <w:tcPr>
            <w:tcW w:w="1900" w:type="dxa"/>
            <w:shd w:val="clear" w:color="auto" w:fill="8DB3E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</w:p>
        </w:tc>
        <w:tc>
          <w:tcPr>
            <w:tcW w:w="1900" w:type="dxa"/>
            <w:shd w:val="clear" w:color="auto" w:fill="8DB3E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</w:p>
        </w:tc>
      </w:tr>
      <w:tr>
        <w:trPr>
          <w:trHeight w:val="560"/>
          <w:cantSplit/>
        </w:trPr>
        <w:tc>
          <w:tcPr>
            <w:tcW w:w="2200" w:type="dxa"/>
            <w:shd w:val="clear" w:color="auto" w:fill="F2F2F2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unwahrscheinlich</w:t>
            </w:r>
          </w:p>
        </w:tc>
        <w:tc>
          <w:tcPr>
            <w:tcW w:w="500" w:type="dxa"/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</w:rPr>
              <w:t xml:space="preserve">D</w:t>
            </w:r>
          </w:p>
        </w:tc>
        <w:tc>
          <w:tcPr>
            <w:tcW w:w="1900" w:type="dxa"/>
            <w:shd w:val="clear" w:color="auto" w:fill="E6E6E6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</w:t>
            </w:r>
          </w:p>
        </w:tc>
        <w:tc>
          <w:tcPr>
            <w:tcW w:w="1900" w:type="dxa"/>
            <w:shd w:val="clear" w:color="auto" w:fill="CCFFFF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</w:p>
        </w:tc>
        <w:tc>
          <w:tcPr>
            <w:tcW w:w="1900" w:type="dxa"/>
            <w:shd w:val="clear" w:color="auto" w:fill="CCFFFF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</w:p>
        </w:tc>
        <w:tc>
          <w:tcPr>
            <w:tcW w:w="1900" w:type="dxa"/>
            <w:shd w:val="clear" w:color="auto" w:fill="CCFFFF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</w:p>
        </w:tc>
        <w:tc>
          <w:tcPr>
            <w:tcW w:w="1900" w:type="dxa"/>
            <w:shd w:val="clear" w:color="auto" w:fill="8DB3E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</w:p>
        </w:tc>
      </w:tr>
      <w:tr>
        <w:trPr>
          <w:trHeight w:val="560"/>
          <w:cantSplit/>
        </w:trPr>
        <w:tc>
          <w:tcPr>
            <w:tcW w:w="2200" w:type="dxa"/>
            <w:shd w:val="clear" w:color="auto" w:fill="F2F2F2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</w:rPr>
              <w:t xml:space="preserve">praktisch unmöglich</w:t>
            </w:r>
          </w:p>
        </w:tc>
        <w:tc>
          <w:tcPr>
            <w:tcW w:w="500" w:type="dxa"/>
            <w:shd w:val="clear" w:color="auto" w:fill="F2F2F2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</w:rPr>
              <w:t xml:space="preserve">E</w:t>
            </w:r>
          </w:p>
        </w:tc>
        <w:tc>
          <w:tcPr>
            <w:tcW w:w="1900" w:type="dxa"/>
            <w:shd w:val="clear" w:color="auto" w:fill="E6E6E6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</w:t>
            </w:r>
          </w:p>
        </w:tc>
        <w:tc>
          <w:tcPr>
            <w:tcW w:w="1900" w:type="dxa"/>
            <w:shd w:val="clear" w:color="auto" w:fill="E6E6E6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</w:t>
            </w:r>
          </w:p>
        </w:tc>
        <w:tc>
          <w:tcPr>
            <w:tcW w:w="1900" w:type="dxa"/>
            <w:shd w:val="clear" w:color="auto" w:fill="E6E6E6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</w:t>
            </w:r>
          </w:p>
        </w:tc>
        <w:tc>
          <w:tcPr>
            <w:tcW w:w="1900" w:type="dxa"/>
            <w:shd w:val="clear" w:color="auto" w:fill="CCFFFF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</w:p>
        </w:tc>
        <w:tc>
          <w:tcPr>
            <w:tcW w:w="1900" w:type="dxa"/>
            <w:shd w:val="clear" w:color="auto" w:fill="CCFFFF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</w:p>
        </w:tc>
      </w:tr>
    </w:tbl>
    <w:p>
      <w:r>
        <w:br w:type="page"/>
      </w:r>
    </w:p>
    <w:p>
      <w:pPr>
        <w:keepNext/>
        <w:spacing w:before="0" w:after="80" w:line="240" w:lineRule="auto"/>
      </w:pPr>
      <w:r>
        <w:rPr>
          <w:b/>
          <w:bCs/>
          <w:sz w:val="22"/>
          <w:szCs w:val="22"/>
        </w:rPr>
        <w:t xml:space="preserve">Freigabe der Gefährdungsbeurteilung nach §§ 5, 6 ArbSchG</w:t>
      </w:r>
    </w:p>
    <w:tbl>
      <w:tblPr>
        <w:tblW w:w="15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2400"/>
        <w:gridCol w:w="3000"/>
        <w:gridCol w:w="5798"/>
      </w:tblGrid>
      <w:tr>
        <w:trPr>
          <w:cantSplit/>
        </w:trPr>
        <w:tc>
          <w:tcPr>
            <w:tcW w:w="4200" w:type="dxa"/>
            <w:shd w:val="clear" w:color="auto" w:fill="F2F2F2"/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Name</w:t>
            </w:r>
          </w:p>
        </w:tc>
        <w:tc>
          <w:tcPr>
            <w:tcW w:w="2400" w:type="dxa"/>
            <w:shd w:val="clear" w:color="auto" w:fill="F2F2F2"/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Firma</w:t>
            </w:r>
          </w:p>
        </w:tc>
        <w:tc>
          <w:tcPr>
            <w:tcW w:w="3000" w:type="dxa"/>
            <w:shd w:val="clear" w:color="auto" w:fill="F2F2F2"/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Ort, Datum</w:t>
            </w:r>
          </w:p>
        </w:tc>
        <w:tc>
          <w:tcPr>
            <w:tcW w:w="5798" w:type="dxa"/>
            <w:shd w:val="clear" w:color="auto" w:fill="F2F2F2"/>
            <w:vAlign w:val="top"/>
          </w:tcPr>
          <w:p>
            <w:pPr>
              <w:spacing w:before="0" w:after="0" w:line="240" w:lineRule="auto"/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Unterschrift</w:t>
            </w:r>
          </w:p>
        </w:tc>
      </w:tr>
      <w:tr>
        <w:trPr>
          <w:cantSplit/>
        </w:trPr>
        <w:tc>
          <w:tcPr>
            <w:tcW w:w="4200" w:type="dxa"/>
            <w:vAlign w:val="center"/>
          </w:tcPr>
          <w:p>
            <w:pPr>
              <w:spacing w:before="0" w:after="0" w:line="240" w:lineRule="auto"/>
            </w:pPr>
            <w:r>
              <w:t xml:space="preserve">Franz-Josef Hemmer</w:t>
            </w:r>
          </w:p>
        </w:tc>
        <w:tc>
          <w:tcPr>
            <w:tcW w:w="2400" w:type="dxa"/>
            <w:vAlign w:val="center"/>
          </w:tcPr>
          <w:p>
            <w:pPr>
              <w:spacing w:before="0" w:after="0" w:line="240" w:lineRule="auto"/>
            </w:pPr>
            <w:r>
              <w:t xml:space="preserve">WIM GmbH</w:t>
            </w:r>
          </w:p>
        </w:tc>
        <w:tc>
          <w:tcPr>
            <w:tcW w:w="3000" w:type="dxa"/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w="5798" w:type="dxa"/>
            <w:vAlign w:val="center"/>
          </w:tcPr>
          <w:p>
            <w:pPr>
              <w:spacing w:before="0" w:after="0" w:line="240" w:lineRule="auto"/>
              <w:jc w:val="center"/>
            </w:pPr>
            <w:sdt>
              <w:sdtPr>
                <w:alias w:val="Unterschrift Franz-Josef Hemmer"/>
                <w:tag w:val="Unterschrift Franz-Josef Hemmer"/>
                <w:id w:val="1448"/>
                <w:picture/>
              </w:sdtPr>
              <w:sdtContent>
                <w:r>
                  <w:drawing>
                    <wp:inline distT="0" distB="0" distL="0" distR="0">
                      <wp:extent cx="1980000" cy="594000"/>
                      <wp:docPr id="9201" name="Unterschrift Franz-Josef Hemmer 9201"/>
                      <wp:cNvGraphicFramePr>
                        <a:graphicFrameLocks noChangeAspect="1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id="9201" name="Unterschrift Franz-Josef Hemmer 9201"/>
                              <pic:cNvPicPr/>
                            </pic:nvPicPr>
                            <pic:blipFill>
                              <a:blip r:embed="rIdImg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0000" cy="594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>
        <w:trPr>
          <w:cantSplit/>
        </w:trPr>
        <w:tc>
          <w:tcPr>
            <w:tcW w:w="4200" w:type="dxa"/>
            <w:vAlign w:val="center"/>
          </w:tcPr>
          <w:p>
            <w:pPr>
              <w:spacing w:before="0" w:after="0" w:line="240" w:lineRule="auto"/>
            </w:pPr>
            <w:r>
              <w:t xml:space="preserve"/>
            </w:r>
          </w:p>
        </w:tc>
        <w:tc>
          <w:tcPr>
            <w:tcW w:w="2400" w:type="dxa"/>
            <w:vAlign w:val="center"/>
          </w:tcPr>
          <w:p>
            <w:pPr>
              <w:spacing w:before="0" w:after="0" w:line="240" w:lineRule="auto"/>
            </w:pPr>
            <w:r>
              <w:t xml:space="preserve"/>
            </w:r>
          </w:p>
        </w:tc>
        <w:tc>
          <w:tcPr>
            <w:tcW w:w="3000" w:type="dxa"/>
            <w:vAlign w:val="center"/>
          </w:tcPr>
          <w:p>
            <w:pPr>
              <w:spacing w:before="0" w:after="0" w:line="240" w:lineRule="auto"/>
            </w:pPr>
          </w:p>
        </w:tc>
        <w:tc>
          <w:tcPr>
            <w:tcW w:w="5798" w:type="dxa"/>
            <w:vAlign w:val="center"/>
          </w:tcPr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</w:p>
          <w:p>
            <w:pPr>
              <w:spacing w:before="0" w:after="0" w:line="240" w:lineRule="auto"/>
            </w:pPr>
          </w:p>
        </w:tc>
      </w:tr>
    </w:tbl>
    <w:sectPr>
      <w:headerReference w:type="default" r:id="rIdHdr"/>
      <w:footerReference w:type="default" r:id="rIdFtr"/>
      <w:pgSz w:w="16838" w:h="11906" w:orient="landscape"/>
      <w:pgMar w:top="1330" w:right="720" w:bottom="900" w:left="720" w:header="340" w:footer="283" w:gutter="0"/>
      <w:cols w:space="708"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 xmlns:w="http://schemas.openxmlformats.org/wordprocessingml/2006/main" xmlns:w14="http://schemas.microsoft.com/office/word/2010/wordml" xmlns:w15="http://schemas.microsoft.com/office/word/2012/wordml" mc:Ignorable="w14 w15">
  <w:p>
    <w:pPr>
      <w:tabs>
        <w:tab w:val="center" w:pos="7699"/>
        <w:tab w:val="right" w:pos="15398"/>
      </w:tabs>
      <w:spacing w:before="0" w:after="0" w:line="240" w:lineRule="auto"/>
    </w:pPr>
    <w:r>
      <w:rPr>
        <w:color w:val="666666"/>
        <w:sz w:val="16"/>
        <w:szCs w:val="16"/>
      </w:rPr>
      <w:t xml:space="preserve">Gefährdungsbeurteilung WIM GmbH, HOLCIM Hannover</w:t>
    </w:r>
    <w:r>
      <w:tab/>
    </w:r>
    <w:r>
      <w:rPr>
        <w:sz w:val="18"/>
        <w:szCs w:val="18"/>
      </w:rPr>
      <w:t xml:space="preserve">Paraphe: </w:t>
    </w:r>
    <w:sdt>
      <w:sdtPr>
        <w:alias w:val="Paraphe"/>
        <w:tag w:val="Paraphe"/>
        <w:id w:val="1449"/>
        <w:picture/>
      </w:sdtPr>
      <w:sdtContent>
        <w:r>
          <w:drawing>
            <wp:inline distT="0" distB="0" distL="0" distR="0">
              <wp:extent cx="720000" cy="262000"/>
              <wp:docPr id="9101" name="Paraphe 9101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9101" name="Paraphe 9101"/>
                      <pic:cNvPicPr/>
                    </pic:nvPicPr>
                    <pic:blipFill>
                      <a:blip r:embed="rIdPh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" cy="2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ab/>
    </w:r>
    <w:r>
      <w:rPr>
        <w:sz w:val="18"/>
        <w:szCs w:val="18"/>
      </w:rPr>
      <w:t xml:space="preserve">Seite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 xmlns:w="http://schemas.openxmlformats.org/wordprocessingml/2006/main" xmlns:w14="http://schemas.microsoft.com/office/word/2010/wordml" xmlns:w15="http://schemas.microsoft.com/office/word/2012/wordml" mc:Ignorable="w14 w15">
  <w:p>
    <w:pPr>
      <w:tabs>
        <w:tab w:val="right" w:pos="15398"/>
      </w:tabs>
      <w:spacing w:before="0" w:after="60" w:line="240" w:lineRule="auto"/>
    </w:pPr>
    <w:r>
      <w:rPr>
        <w:b/>
        <w:bCs/>
        <w:sz w:val="30"/>
        <w:szCs w:val="30"/>
      </w:rPr>
      <w:t xml:space="preserve">Gefährdungsbeurteilung und festgelegte Schutzmaßnahmen nach §§ 5, 6 ArbSchG</w:t>
    </w:r>
    <w:r>
      <w:tab/>
    </w:r>
    <w:r>
      <w:drawing>
        <wp:inline distT="0" distB="0" distL="0" distR="0">
          <wp:extent cx="1440000" cy="715500"/>
          <wp:docPr id="9001" name="Logo 900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01" name="Logo 9001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440000" cy="715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w14="http://schemas.microsoft.com/office/word/2010/wordml" xmlns:mc="http://schemas.openxmlformats.org/markup-compatibility/2006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</w:compat>
  <w:themeFontLang w:val="de-DE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Calibri" w:eastAsia="Calibri" w:hAnsi="Calibri" w:cs="Calibri"/>
        <w:sz w:val="20"/>
        <w:szCs w:val="20"/>
        <w:lang w:val="de-DE" w:eastAsia="de-DE" w:bidi="ar-SA"/>
      </w:rPr>
    </w:rPrDefault>
    <w:pPrDefault>
      <w:pPr>
        <w:spacing w:after="0" w:line="240" w:lineRule="auto"/>
      </w:pPr>
    </w:pPrDefault>
  </w:docDefault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dr" Type="http://schemas.openxmlformats.org/officeDocument/2006/relationships/header" Target="header1.xml"/><Relationship Id="rIdFtr" Type="http://schemas.openxmlformats.org/officeDocument/2006/relationships/footer" Target="footer1.xml"/><Relationship Id="rIdImg1" Type="http://schemas.openxmlformats.org/officeDocument/2006/relationships/image" Target="media/image5.png"/><Relationship Id="rIdImg2" Type="http://schemas.openxmlformats.org/officeDocument/2006/relationships/image" Target="media/image6.png"/><Relationship Id="rIdImg3" Type="http://schemas.openxmlformats.org/officeDocument/2006/relationships/image" Target="media/image7.png"/><Relationship Id="rIdImg4" Type="http://schemas.openxmlformats.org/officeDocument/2006/relationships/image" Target="media/image8.png"/><Relationship Id="rIdImg5" Type="http://schemas.openxmlformats.org/officeDocument/2006/relationships/image" Target="media/image9.png"/><Relationship Id="rIdImg6" Type="http://schemas.openxmlformats.org/officeDocument/2006/relationships/image" Target="media/image10.png"/><Relationship Id="rIdImg7" Type="http://schemas.openxmlformats.org/officeDocument/2006/relationships/image" Target="media/image11.png"/><Relationship Id="rIdImg8" Type="http://schemas.openxmlformats.org/officeDocument/2006/relationships/image" Target="media/ph_unterschrift.png"/></Relationships>
</file>

<file path=word/_rels/footer1.xml.rels><?xml version="1.0" encoding="UTF-8" standalone="yes"?>
<Relationships xmlns="http://schemas.openxmlformats.org/package/2006/relationships"><Relationship Id="rIdPh" Type="http://schemas.openxmlformats.org/officeDocument/2006/relationships/image" Target="media/ph_paraphe.png"/></Relationships>
</file>

<file path=word/_rels/header1.xml.rels><?xml version="1.0" encoding="UTF-8" standalone="yes"?>
<Relationships xmlns="http://schemas.openxmlformats.org/package/2006/relationships"><Relationship Id="rIdLogo" Type="http://schemas.openxmlformats.org/officeDocument/2006/relationships/image" Target="media/logo.jpeg"/></Relationships>
</file>

<file path=docProps/app.xml><?xml version="1.0" encoding="utf-8"?>
<Properties xmlns="http://schemas.openxmlformats.org/officeDocument/2006/extended-properti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Gefährdungsbeurteilung Sanierung Wärmetauscherturm Holcim Höver</dc:title>
  <dc:creator>WIM GmbH</dc:creator>
  <dcterms:created xsi:type="dcterms:W3CDTF">2026-09-10T12:00:00Z</dcterms:created>
  <dcterms:modified xsi:type="dcterms:W3CDTF">2026-09-10T12:00:00Z</dcterms:modified>
</cp:coreProperties>
</file>